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50066085"/>
      <w:bookmarkEnd w:id="2"/>
      <w:bookmarkStart w:id="3" w:name="_Hlt449016246"/>
      <w:bookmarkEnd w:id="3"/>
      <w:bookmarkStart w:id="4" w:name="_Hlt448930105"/>
      <w:bookmarkEnd w:id="4"/>
      <w:bookmarkStart w:id="5" w:name="_Hlt450039480"/>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cs="Arial"/>
          <w:b/>
          <w:sz w:val="24"/>
          <w:szCs w:val="24"/>
          <w:lang w:val="en-US" w:eastAsia="zh-CN"/>
        </w:rPr>
        <w:t>14028</w:t>
      </w:r>
      <w:bookmarkStart w:id="73" w:name="_GoBack"/>
      <w:bookmarkEnd w:id="73"/>
    </w:p>
    <w:p>
      <w:pPr>
        <w:rPr>
          <w:rFonts w:ascii="Arial" w:hAnsi="Arial" w:cs="Arial"/>
          <w:b/>
          <w:sz w:val="24"/>
          <w:szCs w:val="24"/>
        </w:rPr>
      </w:pPr>
      <w:r>
        <w:rPr>
          <w:rFonts w:ascii="Arial" w:hAnsi="Arial" w:cs="Arial"/>
          <w:b/>
          <w:sz w:val="24"/>
          <w:szCs w:val="24"/>
        </w:rPr>
        <w:t>Prague, CZ, 13th – 17th October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SAN conformance testing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5.10.4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SAN</w:t>
      </w:r>
      <w:r>
        <w:rPr>
          <w:rFonts w:hint="default"/>
          <w:i w:val="0"/>
          <w:iCs w:val="0"/>
          <w:sz w:val="20"/>
          <w:szCs w:val="20"/>
          <w:lang w:val="en-US" w:eastAsia="zh-CN"/>
        </w:rPr>
        <w:t xml:space="preserve"> </w:t>
      </w:r>
      <w:r>
        <w:rPr>
          <w:rFonts w:hint="eastAsia"/>
          <w:i w:val="0"/>
          <w:iCs w:val="0"/>
          <w:sz w:val="20"/>
          <w:szCs w:val="20"/>
          <w:lang w:val="en-US" w:eastAsia="zh-CN"/>
        </w:rPr>
        <w:t>conformance testing</w:t>
      </w:r>
      <w:r>
        <w:rPr>
          <w:rFonts w:hint="default"/>
          <w:i w:val="0"/>
          <w:iCs w:val="0"/>
          <w:sz w:val="20"/>
          <w:szCs w:val="20"/>
          <w:lang w:val="en-US" w:eastAsia="zh-CN"/>
        </w:rPr>
        <w:t xml:space="preserve">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bidi w:val="0"/>
        <w:rPr>
          <w:rFonts w:hint="eastAsia" w:cs="Times New Roman"/>
          <w:b/>
          <w:bCs/>
          <w:kern w:val="2"/>
          <w:sz w:val="20"/>
          <w:szCs w:val="20"/>
          <w:lang w:val="en-US" w:eastAsia="zh-CN" w:bidi="ar-SA"/>
        </w:rPr>
      </w:pPr>
      <w:r>
        <w:rPr>
          <w:rFonts w:hint="eastAsia"/>
          <w:sz w:val="20"/>
          <w:szCs w:val="18"/>
          <w:lang w:val="en-US" w:eastAsia="zh-CN"/>
        </w:rPr>
        <w:t>We make the following proposals for SAN conformance testing for NTN Ku band.</w:t>
      </w:r>
    </w:p>
    <w:p>
      <w:pPr>
        <w:jc w:val="center"/>
        <w:rPr>
          <w:rFonts w:hint="default"/>
          <w:b/>
          <w:bCs/>
          <w:lang w:val="en-US" w:eastAsia="zh-CN"/>
        </w:rPr>
      </w:pPr>
      <w:r>
        <w:rPr>
          <w:rFonts w:hint="eastAsia" w:cs="Times New Roman"/>
          <w:b/>
          <w:bCs/>
          <w:kern w:val="2"/>
          <w:sz w:val="20"/>
          <w:szCs w:val="20"/>
          <w:lang w:val="en-US" w:eastAsia="zh-CN" w:bidi="ar-SA"/>
        </w:rPr>
        <w:t>Table 2.2 General requirements for NTN Ku band</w:t>
      </w:r>
    </w:p>
    <w:tbl>
      <w:tblPr>
        <w:tblStyle w:val="23"/>
        <w:tblW w:w="0" w:type="auto"/>
        <w:tblInd w:w="0" w:type="dxa"/>
        <w:tblLayout w:type="autofit"/>
        <w:tblCellMar>
          <w:top w:w="0" w:type="dxa"/>
          <w:left w:w="70" w:type="dxa"/>
          <w:bottom w:w="0" w:type="dxa"/>
          <w:right w:w="70" w:type="dxa"/>
        </w:tblCellMar>
      </w:tblPr>
      <w:tblGrid>
        <w:gridCol w:w="3145"/>
        <w:gridCol w:w="6655"/>
      </w:tblGrid>
      <w:tr>
        <w:tblPrEx>
          <w:tblCellMar>
            <w:top w:w="0" w:type="dxa"/>
            <w:left w:w="70" w:type="dxa"/>
            <w:bottom w:w="0" w:type="dxa"/>
            <w:right w:w="70" w:type="dxa"/>
          </w:tblCellMar>
        </w:tblPrEx>
        <w:trPr>
          <w:trHeight w:val="31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jc w:val="center"/>
              <w:rPr>
                <w:rFonts w:hint="default" w:ascii="Calibri" w:hAnsi="Calibri" w:eastAsia="Times New Roman" w:cs="Calibri"/>
                <w:b/>
                <w:bCs/>
                <w:color w:val="000000"/>
                <w:sz w:val="20"/>
                <w:szCs w:val="20"/>
                <w:lang w:val="en-US" w:eastAsia="fi-FI"/>
              </w:rPr>
            </w:pPr>
            <w:r>
              <w:rPr>
                <w:rFonts w:eastAsia="PMingLiU"/>
                <w:b/>
                <w:kern w:val="2"/>
                <w:sz w:val="18"/>
                <w:szCs w:val="18"/>
                <w:lang w:eastAsia="zh-CN"/>
              </w:rPr>
              <w:t>Requirements</w:t>
            </w:r>
            <w:r>
              <w:rPr>
                <w:rFonts w:hint="eastAsia" w:eastAsia="PMingLiU"/>
                <w:b/>
                <w:kern w:val="2"/>
                <w:sz w:val="18"/>
                <w:szCs w:val="18"/>
                <w:lang w:val="en-US" w:eastAsia="zh-CN"/>
              </w:rPr>
              <w:t xml:space="preserve"> in TS 38.181</w:t>
            </w:r>
          </w:p>
        </w:tc>
        <w:tc>
          <w:tcPr>
            <w:tcW w:w="6655" w:type="dxa"/>
            <w:tcBorders>
              <w:top w:val="single" w:color="auto" w:sz="4" w:space="0"/>
              <w:left w:val="nil"/>
              <w:bottom w:val="single" w:color="auto" w:sz="4" w:space="0"/>
              <w:right w:val="single" w:color="auto" w:sz="4" w:space="0"/>
            </w:tcBorders>
            <w:shd w:val="clear" w:color="000000" w:fill="FFFFFF"/>
            <w:noWrap w:val="0"/>
            <w:vAlign w:val="top"/>
          </w:tcPr>
          <w:p>
            <w:pPr>
              <w:keepNext/>
              <w:keepLines/>
              <w:widowControl w:val="0"/>
              <w:spacing w:after="0"/>
              <w:jc w:val="center"/>
              <w:rPr>
                <w:rFonts w:ascii="Calibri" w:hAnsi="Calibri" w:eastAsia="Times New Roman" w:cs="Calibri"/>
                <w:b/>
                <w:bCs/>
                <w:color w:val="000000"/>
                <w:sz w:val="20"/>
                <w:szCs w:val="20"/>
                <w:lang w:val="fi-FI" w:eastAsia="fi-FI"/>
              </w:rPr>
            </w:pPr>
            <w:r>
              <w:rPr>
                <w:rFonts w:eastAsia="PMingLiU"/>
                <w:b/>
                <w:kern w:val="2"/>
                <w:sz w:val="18"/>
                <w:szCs w:val="18"/>
                <w:lang w:eastAsia="zh-CN"/>
              </w:rPr>
              <w:t>Expected impact</w:t>
            </w:r>
          </w:p>
        </w:tc>
      </w:tr>
      <w:tr>
        <w:tblPrEx>
          <w:tblCellMar>
            <w:top w:w="0" w:type="dxa"/>
            <w:left w:w="70" w:type="dxa"/>
            <w:bottom w:w="0" w:type="dxa"/>
            <w:right w:w="70" w:type="dxa"/>
          </w:tblCellMar>
        </w:tblPrEx>
        <w:trPr>
          <w:trHeight w:val="31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numPr>
                <w:ilvl w:val="0"/>
                <w:numId w:val="0"/>
              </w:numPr>
              <w:spacing w:after="0"/>
              <w:rPr>
                <w:rFonts w:hint="eastAsia" w:ascii="Times New Roman" w:hAnsi="Times New Roman" w:cs="Times New Roman"/>
                <w:sz w:val="20"/>
                <w:szCs w:val="20"/>
                <w:lang w:val="en-US" w:eastAsia="zh-CN"/>
              </w:rPr>
            </w:pPr>
            <w:bookmarkStart w:id="8" w:name="_Toc120608797"/>
            <w:bookmarkStart w:id="9" w:name="_Toc120623805"/>
            <w:bookmarkStart w:id="10" w:name="_Toc120625416"/>
            <w:bookmarkStart w:id="11" w:name="_Toc130390724"/>
            <w:bookmarkStart w:id="12" w:name="_Toc120614076"/>
            <w:bookmarkStart w:id="13" w:name="_Toc161647185"/>
            <w:bookmarkStart w:id="14" w:name="_Toc169532765"/>
            <w:bookmarkStart w:id="15" w:name="_Toc120611113"/>
            <w:bookmarkStart w:id="16" w:name="_Toc120622155"/>
            <w:bookmarkStart w:id="17" w:name="_Toc120623280"/>
            <w:bookmarkStart w:id="18" w:name="_Toc120609568"/>
            <w:bookmarkStart w:id="19" w:name="_Toc120614978"/>
            <w:bookmarkStart w:id="20" w:name="_Toc120624879"/>
            <w:bookmarkStart w:id="21" w:name="_Toc120627056"/>
            <w:bookmarkStart w:id="22" w:name="_Toc120610711"/>
            <w:bookmarkStart w:id="23" w:name="_Toc129109181"/>
            <w:bookmarkStart w:id="24" w:name="_Toc120626500"/>
            <w:bookmarkStart w:id="25" w:name="_Toc120609959"/>
            <w:bookmarkStart w:id="26" w:name="_Toc120545723"/>
            <w:bookmarkStart w:id="27" w:name="_Toc138872576"/>
            <w:bookmarkStart w:id="28" w:name="_Toc120622661"/>
            <w:bookmarkStart w:id="29" w:name="_Toc192246384"/>
            <w:bookmarkStart w:id="30" w:name="_Toc120544752"/>
            <w:bookmarkStart w:id="31" w:name="_Toc120634774"/>
            <w:bookmarkStart w:id="32" w:name="_Toc129109843"/>
            <w:bookmarkStart w:id="33" w:name="_Toc153559885"/>
            <w:bookmarkStart w:id="34" w:name="_Toc120612360"/>
            <w:bookmarkStart w:id="35" w:name="_Toc120614519"/>
            <w:bookmarkStart w:id="36" w:name="_Toc120608417"/>
            <w:bookmarkStart w:id="37" w:name="_Toc120628197"/>
            <w:bookmarkStart w:id="38" w:name="_Toc120613646"/>
            <w:bookmarkStart w:id="39" w:name="_Toc120630871"/>
            <w:bookmarkStart w:id="40" w:name="_Toc120606624"/>
            <w:bookmarkStart w:id="41" w:name="_Toc176539095"/>
            <w:bookmarkStart w:id="42" w:name="_Toc120624342"/>
            <w:bookmarkStart w:id="43" w:name="_Toc120611940"/>
            <w:bookmarkStart w:id="44" w:name="_Toc120613216"/>
            <w:bookmarkStart w:id="45" w:name="_Toc145524760"/>
            <w:bookmarkStart w:id="46" w:name="_Toc120625953"/>
            <w:bookmarkStart w:id="47" w:name="_Toc120611522"/>
            <w:bookmarkStart w:id="48" w:name="_Toc138874162"/>
            <w:bookmarkStart w:id="49" w:name="_Toc120545107"/>
            <w:bookmarkStart w:id="50" w:name="_Toc121753898"/>
            <w:bookmarkStart w:id="51" w:name="_Toc137475921"/>
            <w:bookmarkStart w:id="52" w:name="_Toc120633472"/>
            <w:bookmarkStart w:id="53" w:name="_Toc131624488"/>
            <w:bookmarkStart w:id="54" w:name="_Toc200450665"/>
            <w:bookmarkStart w:id="55" w:name="_Toc171519366"/>
            <w:bookmarkStart w:id="56" w:name="_Toc120631522"/>
            <w:bookmarkStart w:id="57" w:name="_Toc120629370"/>
            <w:bookmarkStart w:id="58" w:name="_Toc120632172"/>
            <w:bookmarkStart w:id="59" w:name="_Toc120612787"/>
            <w:bookmarkStart w:id="60" w:name="_Toc120634123"/>
            <w:bookmarkStart w:id="61" w:name="_Toc129108520"/>
            <w:bookmarkStart w:id="62" w:name="_Toc121754568"/>
            <w:bookmarkStart w:id="63" w:name="_Toc120607332"/>
            <w:bookmarkStart w:id="64" w:name="_Toc120609177"/>
            <w:bookmarkStart w:id="65" w:name="_Toc120606978"/>
            <w:bookmarkStart w:id="66" w:name="_Toc120627621"/>
            <w:bookmarkStart w:id="67" w:name="_Toc120608052"/>
            <w:bookmarkStart w:id="68" w:name="_Toc130390036"/>
            <w:bookmarkStart w:id="69" w:name="_Toc120628782"/>
            <w:bookmarkStart w:id="70" w:name="_Toc120632822"/>
            <w:bookmarkStart w:id="71" w:name="_Toc130388963"/>
            <w:bookmarkStart w:id="72" w:name="_Toc120607689"/>
            <w:r>
              <w:rPr>
                <w:rFonts w:hint="eastAsia" w:ascii="Times New Roman" w:hAnsi="Times New Roman" w:cs="Times New Roman"/>
                <w:sz w:val="20"/>
                <w:szCs w:val="20"/>
                <w:lang w:val="en-US" w:eastAsia="zh-CN"/>
              </w:rPr>
              <w:t>4 General test conditions and declarations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after="0"/>
              <w:rPr>
                <w:rFonts w:hint="eastAsia" w:ascii="Times New Roman" w:hAnsi="Times New Roman" w:cs="Times New Roman"/>
                <w:sz w:val="20"/>
                <w:szCs w:val="20"/>
                <w:lang w:val="fi-FI" w:eastAsia="fi-FI"/>
              </w:rPr>
            </w:pP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ascii="Times New Roman" w:hAnsi="Times New Roman" w:cs="Times New Roman"/>
                <w:sz w:val="20"/>
                <w:szCs w:val="20"/>
                <w:lang w:val="en-US" w:eastAsia="fi-FI"/>
              </w:rPr>
            </w:pPr>
            <w:r>
              <w:rPr>
                <w:rFonts w:hint="eastAsia" w:ascii="Times New Roman" w:hAnsi="Times New Roman" w:cs="Times New Roman"/>
                <w:sz w:val="20"/>
                <w:szCs w:val="20"/>
                <w:lang w:val="en-US" w:eastAsia="zh-CN"/>
              </w:rPr>
              <w:t>4.1 Measurement uncertainties and test requirements</w:t>
            </w:r>
          </w:p>
        </w:tc>
        <w:tc>
          <w:tcPr>
            <w:tcW w:w="6655" w:type="dxa"/>
            <w:tcBorders>
              <w:top w:val="nil"/>
              <w:left w:val="nil"/>
              <w:bottom w:val="single" w:color="auto" w:sz="4" w:space="0"/>
              <w:right w:val="single" w:color="auto" w:sz="4" w:space="0"/>
            </w:tcBorders>
            <w:shd w:val="clear" w:color="auto" w:fill="auto"/>
            <w:noWrap w:val="0"/>
            <w:vAlign w:val="top"/>
          </w:tcPr>
          <w:p>
            <w:pPr>
              <w:spacing w:after="160" w:line="259" w:lineRule="auto"/>
              <w:rPr>
                <w:rFonts w:eastAsia="Times New Roman"/>
                <w:strike/>
                <w:color w:val="000000"/>
                <w:sz w:val="20"/>
                <w:szCs w:val="20"/>
              </w:rPr>
            </w:pPr>
            <w:r>
              <w:rPr>
                <w:rFonts w:hint="eastAsia"/>
                <w:color w:val="000000"/>
                <w:sz w:val="20"/>
                <w:szCs w:val="20"/>
                <w:lang w:val="en-US" w:eastAsia="zh-CN"/>
              </w:rPr>
              <w:t xml:space="preserve">Need to update the test system uncertainty for carrier frequency </w:t>
            </w:r>
            <w:r>
              <w:rPr>
                <w:rFonts w:hint="eastAsia"/>
                <w:i/>
                <w:iCs/>
                <w:color w:val="000000"/>
                <w:sz w:val="20"/>
                <w:szCs w:val="20"/>
                <w:lang w:val="en-US" w:eastAsia="zh-CN"/>
              </w:rPr>
              <w:t>f</w:t>
            </w:r>
            <w:r>
              <w:rPr>
                <w:rFonts w:hint="eastAsia"/>
                <w:color w:val="000000"/>
                <w:sz w:val="20"/>
                <w:szCs w:val="20"/>
                <w:lang w:val="en-US" w:eastAsia="zh-CN"/>
              </w:rPr>
              <w:t xml:space="preserve"> of Ku band in Table 4.1.2.2-2, 4.1.2.2-3, 4.1.2.3-2, 4.1.2.3-3.</w:t>
            </w: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4.2 Requirement reference points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w:t>
            </w:r>
            <w:r>
              <w:rPr>
                <w:rFonts w:hint="eastAsia"/>
                <w:color w:val="000000"/>
                <w:sz w:val="20"/>
                <w:szCs w:val="20"/>
                <w:lang w:val="en-US" w:eastAsia="zh-CN"/>
              </w:rPr>
              <w:t xml:space="preserve"> </w:t>
            </w:r>
            <w:r>
              <w:rPr>
                <w:rFonts w:hint="eastAsia" w:eastAsia="宋体"/>
                <w:color w:val="000000"/>
                <w:sz w:val="20"/>
                <w:szCs w:val="20"/>
                <w:lang w:val="en-US" w:eastAsia="zh-CN"/>
              </w:rPr>
              <w:t>specification impact.</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sz w:val="20"/>
                <w:szCs w:val="20"/>
                <w:lang w:val="en-US" w:eastAsia="zh-CN"/>
              </w:rPr>
            </w:pPr>
            <w:r>
              <w:rPr>
                <w:rFonts w:hint="eastAsia"/>
                <w:sz w:val="20"/>
                <w:szCs w:val="20"/>
                <w:lang w:val="en-US" w:eastAsia="zh-CN"/>
              </w:rPr>
              <w:t>4.3 Satellite Access Node classes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sz w:val="20"/>
                <w:szCs w:val="20"/>
                <w:lang w:val="en-US" w:eastAsia="zh-CN"/>
              </w:rPr>
            </w:pPr>
            <w:r>
              <w:rPr>
                <w:rFonts w:hint="eastAsia"/>
                <w:sz w:val="20"/>
                <w:szCs w:val="20"/>
                <w:lang w:val="en-US" w:eastAsia="zh-CN"/>
              </w:rPr>
              <w:t>4.4 Regional requirements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4.5 SAN configurations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4.6 Manufacturer declarations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4.7 Test configurations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color w:val="000000"/>
                <w:sz w:val="20"/>
                <w:szCs w:val="20"/>
                <w:lang w:val="en-US" w:eastAsia="zh-CN"/>
              </w:rPr>
              <w:t>Need to define the signal to be used to build NR TCs for SAN type 1-O for Ku band.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4.8 Applicability of requirements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4.9 RF channels and test models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4.10 Void</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4.11 Reference coordinate system</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4.12 Format and interpretation of tests</w:t>
            </w:r>
          </w:p>
        </w:tc>
        <w:tc>
          <w:tcPr>
            <w:tcW w:w="6655" w:type="dxa"/>
            <w:tcBorders>
              <w:top w:val="nil"/>
              <w:left w:val="nil"/>
              <w:bottom w:val="single" w:color="auto" w:sz="4" w:space="0"/>
              <w:right w:val="single" w:color="auto" w:sz="4" w:space="0"/>
            </w:tcBorders>
            <w:shd w:val="clear" w:color="000000" w:fill="FFFFFF"/>
            <w:noWrap w:val="0"/>
            <w:vAlign w:val="top"/>
          </w:tcPr>
          <w:p>
            <w:pPr>
              <w:spacing w:after="0"/>
              <w:rPr>
                <w:rFonts w:eastAsia="Times New Roman"/>
                <w:color w:val="000000"/>
                <w:sz w:val="20"/>
                <w:szCs w:val="20"/>
                <w:lang w:eastAsia="fi-FI"/>
              </w:rPr>
            </w:pPr>
            <w:r>
              <w:rPr>
                <w:rFonts w:hint="eastAsia" w:eastAsia="宋体"/>
                <w:color w:val="000000"/>
                <w:sz w:val="20"/>
                <w:szCs w:val="20"/>
                <w:lang w:val="en-US" w:eastAsia="zh-CN"/>
              </w:rPr>
              <w:t>No specification impact.</w:t>
            </w:r>
          </w:p>
        </w:tc>
      </w:tr>
    </w:tbl>
    <w:p>
      <w:pPr>
        <w:rPr>
          <w:rFonts w:hint="eastAsia"/>
          <w:b/>
          <w:bCs/>
          <w:i w:val="0"/>
          <w:iCs w:val="0"/>
          <w:sz w:val="20"/>
          <w:szCs w:val="20"/>
          <w:lang w:val="en-US" w:eastAsia="zh-CN"/>
        </w:rPr>
      </w:pPr>
    </w:p>
    <w:p>
      <w:pPr>
        <w:jc w:val="center"/>
        <w:rPr>
          <w:rFonts w:hint="default"/>
          <w:b/>
          <w:bCs/>
          <w:lang w:val="en-US" w:eastAsia="zh-CN"/>
        </w:rPr>
      </w:pPr>
      <w:r>
        <w:rPr>
          <w:rFonts w:hint="eastAsia" w:cs="Times New Roman"/>
          <w:b/>
          <w:bCs/>
          <w:kern w:val="2"/>
          <w:sz w:val="20"/>
          <w:szCs w:val="20"/>
          <w:lang w:val="en-US" w:eastAsia="zh-CN" w:bidi="ar-SA"/>
        </w:rPr>
        <w:t>Table 2.2 Tx requirements for NTN Ku band</w:t>
      </w:r>
    </w:p>
    <w:tbl>
      <w:tblPr>
        <w:tblStyle w:val="23"/>
        <w:tblW w:w="0" w:type="auto"/>
        <w:tblInd w:w="0" w:type="dxa"/>
        <w:tblLayout w:type="autofit"/>
        <w:tblCellMar>
          <w:top w:w="0" w:type="dxa"/>
          <w:left w:w="70" w:type="dxa"/>
          <w:bottom w:w="0" w:type="dxa"/>
          <w:right w:w="70" w:type="dxa"/>
        </w:tblCellMar>
      </w:tblPr>
      <w:tblGrid>
        <w:gridCol w:w="3145"/>
        <w:gridCol w:w="6655"/>
      </w:tblGrid>
      <w:tr>
        <w:tblPrEx>
          <w:tblCellMar>
            <w:top w:w="0" w:type="dxa"/>
            <w:left w:w="70" w:type="dxa"/>
            <w:bottom w:w="0" w:type="dxa"/>
            <w:right w:w="70" w:type="dxa"/>
          </w:tblCellMar>
        </w:tblPrEx>
        <w:trPr>
          <w:trHeight w:val="31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jc w:val="center"/>
              <w:rPr>
                <w:rFonts w:hint="default" w:ascii="Calibri" w:hAnsi="Calibri" w:eastAsia="Times New Roman" w:cs="Calibri"/>
                <w:b/>
                <w:bCs/>
                <w:color w:val="000000"/>
                <w:sz w:val="20"/>
                <w:szCs w:val="20"/>
                <w:lang w:val="en-US" w:eastAsia="fi-FI"/>
              </w:rPr>
            </w:pPr>
            <w:r>
              <w:rPr>
                <w:rFonts w:eastAsia="PMingLiU"/>
                <w:b/>
                <w:kern w:val="2"/>
                <w:sz w:val="18"/>
                <w:szCs w:val="18"/>
                <w:lang w:eastAsia="zh-CN"/>
              </w:rPr>
              <w:t>Requirements</w:t>
            </w:r>
            <w:r>
              <w:rPr>
                <w:rFonts w:hint="eastAsia" w:eastAsia="PMingLiU"/>
                <w:b/>
                <w:kern w:val="2"/>
                <w:sz w:val="18"/>
                <w:szCs w:val="18"/>
                <w:lang w:val="en-US" w:eastAsia="zh-CN"/>
              </w:rPr>
              <w:t xml:space="preserve"> in TS 38.181</w:t>
            </w:r>
          </w:p>
        </w:tc>
        <w:tc>
          <w:tcPr>
            <w:tcW w:w="6655" w:type="dxa"/>
            <w:tcBorders>
              <w:top w:val="single" w:color="auto" w:sz="4" w:space="0"/>
              <w:left w:val="nil"/>
              <w:bottom w:val="single" w:color="auto" w:sz="4" w:space="0"/>
              <w:right w:val="single" w:color="auto" w:sz="4" w:space="0"/>
            </w:tcBorders>
            <w:shd w:val="clear" w:color="000000" w:fill="FFFFFF"/>
            <w:noWrap w:val="0"/>
            <w:vAlign w:val="top"/>
          </w:tcPr>
          <w:p>
            <w:pPr>
              <w:keepNext/>
              <w:keepLines/>
              <w:widowControl w:val="0"/>
              <w:spacing w:after="0"/>
              <w:jc w:val="center"/>
              <w:rPr>
                <w:rFonts w:ascii="Calibri" w:hAnsi="Calibri" w:eastAsia="Times New Roman" w:cs="Calibri"/>
                <w:b/>
                <w:bCs/>
                <w:color w:val="000000"/>
                <w:sz w:val="20"/>
                <w:szCs w:val="20"/>
                <w:lang w:val="fi-FI" w:eastAsia="fi-FI"/>
              </w:rPr>
            </w:pPr>
            <w:r>
              <w:rPr>
                <w:rFonts w:eastAsia="PMingLiU"/>
                <w:b/>
                <w:kern w:val="2"/>
                <w:sz w:val="18"/>
                <w:szCs w:val="18"/>
                <w:lang w:eastAsia="zh-CN"/>
              </w:rPr>
              <w:t>Expected impact</w:t>
            </w:r>
          </w:p>
        </w:tc>
      </w:tr>
      <w:tr>
        <w:tblPrEx>
          <w:tblCellMar>
            <w:top w:w="0" w:type="dxa"/>
            <w:left w:w="70" w:type="dxa"/>
            <w:bottom w:w="0" w:type="dxa"/>
            <w:right w:w="70" w:type="dxa"/>
          </w:tblCellMar>
        </w:tblPrEx>
        <w:trPr>
          <w:trHeight w:val="31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numPr>
                <w:ilvl w:val="0"/>
                <w:numId w:val="0"/>
              </w:numPr>
              <w:spacing w:after="0"/>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9 Radiated transmitter characteristics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ascii="Times New Roman" w:hAnsi="Times New Roman" w:cs="Times New Roman"/>
                <w:sz w:val="20"/>
                <w:szCs w:val="20"/>
                <w:lang w:val="en-US" w:eastAsia="fi-FI"/>
              </w:rPr>
            </w:pPr>
            <w:r>
              <w:rPr>
                <w:rFonts w:hint="eastAsia" w:ascii="Times New Roman" w:hAnsi="Times New Roman" w:cs="Times New Roman"/>
                <w:sz w:val="20"/>
                <w:szCs w:val="20"/>
                <w:lang w:val="en-US" w:eastAsia="zh-CN"/>
              </w:rPr>
              <w:t>9.1 General</w:t>
            </w:r>
          </w:p>
        </w:tc>
        <w:tc>
          <w:tcPr>
            <w:tcW w:w="6655" w:type="dxa"/>
            <w:tcBorders>
              <w:top w:val="nil"/>
              <w:left w:val="nil"/>
              <w:bottom w:val="single" w:color="auto" w:sz="4" w:space="0"/>
              <w:right w:val="single" w:color="auto" w:sz="4" w:space="0"/>
            </w:tcBorders>
            <w:shd w:val="clear" w:color="auto" w:fill="auto"/>
            <w:noWrap w:val="0"/>
            <w:vAlign w:val="top"/>
          </w:tcPr>
          <w:p>
            <w:pPr>
              <w:spacing w:after="160" w:line="259" w:lineRule="auto"/>
              <w:rPr>
                <w:rFonts w:eastAsia="Times New Roman"/>
                <w:strike/>
                <w:color w:val="000000"/>
                <w:sz w:val="20"/>
                <w:szCs w:val="20"/>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ascii="Times New Roman" w:hAnsi="Times New Roman" w:cs="Times New Roman"/>
                <w:sz w:val="20"/>
                <w:szCs w:val="20"/>
                <w:lang w:val="en-US" w:eastAsia="zh-CN"/>
              </w:rPr>
              <w:t>9.2 Radiated transmit power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Need to update test requirement for Ku band</w:t>
            </w:r>
            <w:r>
              <w:rPr>
                <w:rFonts w:hint="eastAsia"/>
                <w:i/>
                <w:iCs/>
                <w:color w:val="000000"/>
                <w:sz w:val="20"/>
                <w:szCs w:val="20"/>
                <w:lang w:val="en-US" w:eastAsia="zh-CN"/>
              </w:rPr>
              <w:t xml:space="preserve"> </w:t>
            </w:r>
            <w:r>
              <w:rPr>
                <w:rFonts w:hint="eastAsia"/>
                <w:i w:val="0"/>
                <w:iCs w:val="0"/>
                <w:color w:val="000000"/>
                <w:sz w:val="20"/>
                <w:szCs w:val="20"/>
                <w:lang w:val="en-US" w:eastAsia="zh-CN"/>
              </w:rPr>
              <w:t>in Table 9.2.5-1</w:t>
            </w:r>
            <w:r>
              <w:rPr>
                <w:rFonts w:hint="eastAsia"/>
                <w:color w:val="000000"/>
                <w:sz w:val="20"/>
                <w:szCs w:val="20"/>
                <w:lang w:val="en-US" w:eastAsia="zh-CN"/>
              </w:rPr>
              <w:t>.</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sz w:val="20"/>
                <w:szCs w:val="20"/>
                <w:lang w:val="en-US" w:eastAsia="zh-CN"/>
              </w:rPr>
            </w:pPr>
            <w:r>
              <w:rPr>
                <w:rFonts w:hint="eastAsia"/>
                <w:sz w:val="20"/>
                <w:szCs w:val="20"/>
                <w:lang w:val="en-US" w:eastAsia="zh-CN"/>
              </w:rPr>
              <w:t>9.3 OTA SAN output power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The TRP accuracy in section 9.3.5 needs to be updated for Ku band.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sz w:val="20"/>
                <w:szCs w:val="20"/>
                <w:lang w:val="en-US" w:eastAsia="zh-CN"/>
              </w:rPr>
            </w:pPr>
            <w:r>
              <w:rPr>
                <w:rFonts w:hint="eastAsia"/>
                <w:sz w:val="20"/>
                <w:szCs w:val="20"/>
                <w:lang w:val="en-US" w:eastAsia="zh-CN"/>
              </w:rPr>
              <w:t>9.4 OTA output dynamics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sz w:val="20"/>
                <w:szCs w:val="20"/>
                <w:lang w:val="en-US" w:eastAsia="zh-CN"/>
              </w:rPr>
            </w:pPr>
            <w:r>
              <w:rPr>
                <w:rFonts w:hint="eastAsia"/>
                <w:sz w:val="20"/>
                <w:szCs w:val="20"/>
                <w:lang w:val="en-US" w:eastAsia="zh-CN"/>
              </w:rPr>
              <w:t>9.4.1 General</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sz w:val="20"/>
                <w:szCs w:val="20"/>
                <w:lang w:val="en-US" w:eastAsia="zh-CN"/>
              </w:rPr>
            </w:pPr>
            <w:r>
              <w:rPr>
                <w:rFonts w:hint="eastAsia"/>
                <w:sz w:val="20"/>
                <w:szCs w:val="20"/>
                <w:lang w:val="en-US" w:eastAsia="zh-CN"/>
              </w:rPr>
              <w:t>9.4.2 OTA RE power control dynamic range</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676"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sz w:val="20"/>
                <w:szCs w:val="20"/>
                <w:lang w:val="en-US" w:eastAsia="zh-CN"/>
              </w:rPr>
            </w:pPr>
            <w:r>
              <w:rPr>
                <w:rFonts w:hint="eastAsia"/>
                <w:sz w:val="20"/>
                <w:szCs w:val="20"/>
                <w:lang w:val="en-US" w:eastAsia="zh-CN"/>
              </w:rPr>
              <w:t>9.4.3 OTA total power dynamic range</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OTA total power dynamic range requirement in 9.4.3.5 needs to be updated for Ku bands.</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sz w:val="20"/>
                <w:szCs w:val="20"/>
                <w:lang w:val="en-US" w:eastAsia="zh-CN"/>
              </w:rPr>
            </w:pPr>
            <w:r>
              <w:rPr>
                <w:rFonts w:hint="eastAsia"/>
                <w:sz w:val="20"/>
                <w:szCs w:val="20"/>
                <w:lang w:val="en-US" w:eastAsia="zh-CN"/>
              </w:rPr>
              <w:t>9.4.4 OTA NB-IoT RB power dynamic range for in-band operation</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9.5 OTA transmit ON/OFF power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9.6 OTA transmitted signal quality</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9.6.1 General</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9.6.2 OTA frequency error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color w:val="000000"/>
                <w:sz w:val="20"/>
                <w:szCs w:val="20"/>
                <w:lang w:val="en-US" w:eastAsia="zh-CN"/>
              </w:rPr>
            </w:pPr>
            <w:r>
              <w:rPr>
                <w:rFonts w:hint="eastAsia"/>
                <w:color w:val="000000"/>
                <w:sz w:val="20"/>
                <w:szCs w:val="20"/>
                <w:lang w:val="en-US" w:eastAsia="zh-CN"/>
              </w:rPr>
              <w:t>9.6.3 OTA modulation quality</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 xml:space="preserve">EVM window length </w:t>
            </w:r>
            <w:r>
              <w:rPr>
                <w:rFonts w:hint="eastAsia"/>
                <w:color w:val="000000"/>
                <w:sz w:val="20"/>
                <w:szCs w:val="20"/>
                <w:lang w:val="en-US" w:eastAsia="zh-CN"/>
              </w:rPr>
              <w:t xml:space="preserve">in section 9.6.3.5.1 </w:t>
            </w:r>
            <w:r>
              <w:rPr>
                <w:rFonts w:hint="eastAsia" w:eastAsia="宋体"/>
                <w:color w:val="000000"/>
                <w:sz w:val="20"/>
                <w:szCs w:val="20"/>
                <w:lang w:val="en-US" w:eastAsia="zh-CN"/>
              </w:rPr>
              <w:t>for FR1-NTN needs to be updated.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9.7 OTA unwanted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ascii="Times New Roman" w:hAnsi="Times New Roman" w:eastAsia="宋体" w:cs="Times New Roman"/>
                <w:color w:val="000000"/>
                <w:kern w:val="2"/>
                <w:sz w:val="20"/>
                <w:szCs w:val="20"/>
                <w:lang w:val="fi-FI" w:eastAsia="fi-FI" w:bidi="ar-SA"/>
              </w:rPr>
            </w:pP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9.7.1 General</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9.7.2 OTA occupied bandwidth</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color w:val="000000"/>
                <w:sz w:val="20"/>
                <w:szCs w:val="20"/>
                <w:lang w:val="en-US" w:eastAsia="zh-CN"/>
              </w:rPr>
              <w:t>Span and number of measurement points for OBW measurements in Table 9.7.2.4.2-1 needs to be updated for FR1-NTN Ku bands.</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9.7.3 OTA Adjacent Channel Leakage Power Ratio (ACLR)</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color w:val="000000"/>
                <w:sz w:val="20"/>
                <w:szCs w:val="20"/>
                <w:lang w:val="en-US" w:eastAsia="zh-CN"/>
              </w:rPr>
              <w:t>SAN channel bandwidths in Table 9.7.3.5.1-1 and 9.7.3.5.1-2 need to be updated.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9.7.4 OTA out-of-band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color w:val="000000"/>
                <w:sz w:val="20"/>
                <w:szCs w:val="20"/>
                <w:lang w:val="en-US" w:eastAsia="zh-CN"/>
              </w:rPr>
            </w:pPr>
            <w:r>
              <w:rPr>
                <w:rFonts w:hint="eastAsia"/>
                <w:color w:val="000000"/>
                <w:sz w:val="20"/>
                <w:szCs w:val="20"/>
                <w:lang w:val="en-US" w:eastAsia="zh-CN"/>
              </w:rPr>
              <w:t>9.7.5 OTA transmitter spurious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color w:val="000000"/>
                <w:sz w:val="20"/>
                <w:szCs w:val="20"/>
                <w:lang w:val="en-US" w:eastAsia="zh-CN"/>
              </w:rPr>
              <w:t>OTA transmitter spurious emission limits for Ku bands needs to be defined.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9.8 OTA transmitter intermodulation</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 specification impact.</w:t>
            </w:r>
          </w:p>
        </w:tc>
      </w:tr>
    </w:tbl>
    <w:p>
      <w:pPr>
        <w:rPr>
          <w:rFonts w:hint="eastAsia"/>
          <w:b/>
          <w:bCs/>
          <w:i w:val="0"/>
          <w:iCs w:val="0"/>
          <w:sz w:val="20"/>
          <w:szCs w:val="20"/>
          <w:lang w:val="en-US" w:eastAsia="zh-CN"/>
        </w:rPr>
      </w:pPr>
    </w:p>
    <w:p>
      <w:pPr>
        <w:jc w:val="center"/>
        <w:rPr>
          <w:rFonts w:hint="default"/>
          <w:b/>
          <w:bCs/>
          <w:lang w:val="en-US" w:eastAsia="zh-CN"/>
        </w:rPr>
      </w:pPr>
      <w:r>
        <w:rPr>
          <w:rFonts w:hint="eastAsia" w:cs="Times New Roman"/>
          <w:b/>
          <w:bCs/>
          <w:kern w:val="2"/>
          <w:sz w:val="20"/>
          <w:szCs w:val="20"/>
          <w:lang w:val="en-US" w:eastAsia="zh-CN" w:bidi="ar-SA"/>
        </w:rPr>
        <w:t>Table 2.3 Rx requirements for NTN Ku band</w:t>
      </w:r>
    </w:p>
    <w:tbl>
      <w:tblPr>
        <w:tblStyle w:val="23"/>
        <w:tblW w:w="0" w:type="auto"/>
        <w:tblInd w:w="0" w:type="dxa"/>
        <w:tblLayout w:type="autofit"/>
        <w:tblCellMar>
          <w:top w:w="0" w:type="dxa"/>
          <w:left w:w="70" w:type="dxa"/>
          <w:bottom w:w="0" w:type="dxa"/>
          <w:right w:w="70" w:type="dxa"/>
        </w:tblCellMar>
      </w:tblPr>
      <w:tblGrid>
        <w:gridCol w:w="3145"/>
        <w:gridCol w:w="6655"/>
      </w:tblGrid>
      <w:tr>
        <w:tblPrEx>
          <w:tblCellMar>
            <w:top w:w="0" w:type="dxa"/>
            <w:left w:w="70" w:type="dxa"/>
            <w:bottom w:w="0" w:type="dxa"/>
            <w:right w:w="70" w:type="dxa"/>
          </w:tblCellMar>
        </w:tblPrEx>
        <w:trPr>
          <w:trHeight w:val="31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jc w:val="center"/>
              <w:rPr>
                <w:rFonts w:hint="default" w:ascii="Calibri" w:hAnsi="Calibri" w:eastAsia="Times New Roman" w:cs="Calibri"/>
                <w:b/>
                <w:bCs/>
                <w:color w:val="000000"/>
                <w:sz w:val="20"/>
                <w:szCs w:val="20"/>
                <w:lang w:val="en-US" w:eastAsia="fi-FI"/>
              </w:rPr>
            </w:pPr>
            <w:r>
              <w:rPr>
                <w:rFonts w:eastAsia="PMingLiU"/>
                <w:b/>
                <w:kern w:val="2"/>
                <w:sz w:val="18"/>
                <w:szCs w:val="18"/>
                <w:lang w:eastAsia="zh-CN"/>
              </w:rPr>
              <w:t>Requirements</w:t>
            </w:r>
            <w:r>
              <w:rPr>
                <w:rFonts w:hint="eastAsia" w:eastAsia="PMingLiU"/>
                <w:b/>
                <w:kern w:val="2"/>
                <w:sz w:val="18"/>
                <w:szCs w:val="18"/>
                <w:lang w:val="en-US" w:eastAsia="zh-CN"/>
              </w:rPr>
              <w:t xml:space="preserve"> in TS 38.181</w:t>
            </w:r>
          </w:p>
        </w:tc>
        <w:tc>
          <w:tcPr>
            <w:tcW w:w="6655" w:type="dxa"/>
            <w:tcBorders>
              <w:top w:val="single" w:color="auto" w:sz="4" w:space="0"/>
              <w:left w:val="nil"/>
              <w:bottom w:val="single" w:color="auto" w:sz="4" w:space="0"/>
              <w:right w:val="single" w:color="auto" w:sz="4" w:space="0"/>
            </w:tcBorders>
            <w:shd w:val="clear" w:color="000000" w:fill="FFFFFF"/>
            <w:noWrap w:val="0"/>
            <w:vAlign w:val="top"/>
          </w:tcPr>
          <w:p>
            <w:pPr>
              <w:keepNext/>
              <w:keepLines/>
              <w:widowControl w:val="0"/>
              <w:spacing w:after="0"/>
              <w:jc w:val="center"/>
              <w:rPr>
                <w:rFonts w:ascii="Calibri" w:hAnsi="Calibri" w:eastAsia="Times New Roman" w:cs="Calibri"/>
                <w:b/>
                <w:bCs/>
                <w:color w:val="000000"/>
                <w:sz w:val="20"/>
                <w:szCs w:val="20"/>
                <w:lang w:val="fi-FI" w:eastAsia="fi-FI"/>
              </w:rPr>
            </w:pPr>
            <w:r>
              <w:rPr>
                <w:rFonts w:eastAsia="PMingLiU"/>
                <w:b/>
                <w:kern w:val="2"/>
                <w:sz w:val="18"/>
                <w:szCs w:val="18"/>
                <w:lang w:eastAsia="zh-CN"/>
              </w:rPr>
              <w:t>Expected impact</w:t>
            </w:r>
          </w:p>
        </w:tc>
      </w:tr>
      <w:tr>
        <w:tblPrEx>
          <w:tblCellMar>
            <w:top w:w="0" w:type="dxa"/>
            <w:left w:w="70" w:type="dxa"/>
            <w:bottom w:w="0" w:type="dxa"/>
            <w:right w:w="70" w:type="dxa"/>
          </w:tblCellMar>
        </w:tblPrEx>
        <w:trPr>
          <w:trHeight w:val="31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numPr>
                <w:ilvl w:val="0"/>
                <w:numId w:val="0"/>
              </w:numPr>
              <w:spacing w:after="0"/>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10 Radiated receiver characteristics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ascii="Times New Roman" w:hAnsi="Times New Roman" w:cs="Times New Roman"/>
                <w:sz w:val="20"/>
                <w:szCs w:val="20"/>
                <w:lang w:val="en-US" w:eastAsia="fi-FI"/>
              </w:rPr>
            </w:pPr>
            <w:r>
              <w:rPr>
                <w:rFonts w:hint="eastAsia" w:ascii="Times New Roman" w:hAnsi="Times New Roman" w:cs="Times New Roman"/>
                <w:sz w:val="20"/>
                <w:szCs w:val="20"/>
                <w:lang w:val="en-US" w:eastAsia="zh-CN"/>
              </w:rPr>
              <w:t>10.1 General</w:t>
            </w:r>
          </w:p>
        </w:tc>
        <w:tc>
          <w:tcPr>
            <w:tcW w:w="6655" w:type="dxa"/>
            <w:tcBorders>
              <w:top w:val="nil"/>
              <w:left w:val="nil"/>
              <w:bottom w:val="single" w:color="auto" w:sz="4" w:space="0"/>
              <w:right w:val="single" w:color="auto" w:sz="4" w:space="0"/>
            </w:tcBorders>
            <w:shd w:val="clear" w:color="auto" w:fill="auto"/>
            <w:noWrap w:val="0"/>
            <w:vAlign w:val="top"/>
          </w:tcPr>
          <w:p>
            <w:pPr>
              <w:spacing w:after="160" w:line="259" w:lineRule="auto"/>
              <w:rPr>
                <w:rFonts w:hint="default" w:eastAsia="Times New Roman"/>
                <w:strike/>
                <w:color w:val="000000"/>
                <w:sz w:val="20"/>
                <w:szCs w:val="20"/>
                <w:lang w:val="en-US"/>
              </w:rPr>
            </w:pPr>
            <w:r>
              <w:rPr>
                <w:rFonts w:hint="eastAsia"/>
                <w:color w:val="000000"/>
                <w:sz w:val="20"/>
                <w:szCs w:val="20"/>
                <w:lang w:val="en-US" w:eastAsia="zh-CN"/>
              </w:rPr>
              <w:t>OTA REFSENS RoAoA absolute requirement values for FR1-NTN operating above 10GHz need to be updated.</w:t>
            </w:r>
          </w:p>
        </w:tc>
      </w:tr>
      <w:tr>
        <w:tblPrEx>
          <w:tblCellMar>
            <w:top w:w="0" w:type="dxa"/>
            <w:left w:w="70" w:type="dxa"/>
            <w:bottom w:w="0" w:type="dxa"/>
            <w:right w:w="70" w:type="dxa"/>
          </w:tblCellMar>
        </w:tblPrEx>
        <w:trPr>
          <w:trHeight w:val="87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ascii="Times New Roman" w:hAnsi="Times New Roman" w:cs="Times New Roman"/>
                <w:sz w:val="20"/>
                <w:szCs w:val="20"/>
                <w:lang w:val="en-US" w:eastAsia="zh-CN"/>
              </w:rPr>
              <w:t>10.2 OTA sensitivity</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EIS levels needs to be updated for Ku bands.</w:t>
            </w:r>
          </w:p>
        </w:tc>
      </w:tr>
      <w:tr>
        <w:tblPrEx>
          <w:tblCellMar>
            <w:top w:w="0" w:type="dxa"/>
            <w:left w:w="70" w:type="dxa"/>
            <w:bottom w:w="0" w:type="dxa"/>
            <w:right w:w="70" w:type="dxa"/>
          </w:tblCellMar>
        </w:tblPrEx>
        <w:trPr>
          <w:trHeight w:val="58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sz w:val="20"/>
                <w:szCs w:val="20"/>
                <w:lang w:val="en-US" w:eastAsia="zh-CN"/>
              </w:rPr>
            </w:pPr>
            <w:r>
              <w:rPr>
                <w:rFonts w:hint="eastAsia"/>
                <w:sz w:val="20"/>
                <w:szCs w:val="20"/>
                <w:lang w:val="en-US" w:eastAsia="zh-CN"/>
              </w:rPr>
              <w:t>10.3 OTA reference sensitivity level</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OTA reference sensitivity level needs to be updated for Ku bands.</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sz w:val="20"/>
                <w:szCs w:val="20"/>
                <w:lang w:val="en-US" w:eastAsia="zh-CN"/>
              </w:rPr>
            </w:pPr>
            <w:r>
              <w:rPr>
                <w:rFonts w:hint="eastAsia"/>
                <w:sz w:val="20"/>
                <w:szCs w:val="20"/>
                <w:lang w:val="en-US" w:eastAsia="zh-CN"/>
              </w:rPr>
              <w:t>10.4 OTA dynamic range</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w:t>
            </w:r>
            <w:r>
              <w:rPr>
                <w:rFonts w:hint="eastAsia"/>
                <w:color w:val="000000"/>
                <w:sz w:val="20"/>
                <w:szCs w:val="20"/>
                <w:lang w:val="en-US" w:eastAsia="zh-CN"/>
              </w:rPr>
              <w:t>t applicable.</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10.5 OTA in-band selectivity and blocking</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color w:val="000000"/>
                <w:sz w:val="20"/>
                <w:szCs w:val="20"/>
                <w:lang w:val="en-US" w:eastAsia="zh-CN"/>
              </w:rPr>
            </w:pPr>
            <w:r>
              <w:rPr>
                <w:rFonts w:hint="eastAsia"/>
                <w:color w:val="000000"/>
                <w:sz w:val="20"/>
                <w:szCs w:val="20"/>
                <w:lang w:val="en-US" w:eastAsia="zh-CN"/>
              </w:rPr>
              <w:t>10.5.1 OTA adjacent channel selectivity</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OTA ACS requirement</w:t>
            </w:r>
            <w:r>
              <w:rPr>
                <w:rFonts w:hint="eastAsia"/>
                <w:color w:val="000000"/>
                <w:sz w:val="20"/>
                <w:szCs w:val="20"/>
                <w:lang w:val="en-US" w:eastAsia="zh-CN"/>
              </w:rPr>
              <w:t xml:space="preserve"> for Ku bands</w:t>
            </w:r>
            <w:r>
              <w:rPr>
                <w:rFonts w:hint="eastAsia" w:eastAsia="宋体"/>
                <w:color w:val="000000"/>
                <w:sz w:val="20"/>
                <w:szCs w:val="20"/>
                <w:lang w:val="en-US" w:eastAsia="zh-CN"/>
              </w:rPr>
              <w:t xml:space="preserve"> needs to be updated.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color w:val="000000"/>
                <w:sz w:val="20"/>
                <w:szCs w:val="20"/>
                <w:lang w:val="en-US" w:eastAsia="zh-CN"/>
              </w:rPr>
            </w:pPr>
            <w:r>
              <w:rPr>
                <w:rFonts w:hint="eastAsia"/>
                <w:color w:val="000000"/>
                <w:sz w:val="20"/>
                <w:szCs w:val="20"/>
                <w:lang w:val="en-US" w:eastAsia="zh-CN"/>
              </w:rPr>
              <w:t>10.5.2 OTA in-band blocking</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w:t>
            </w:r>
            <w:r>
              <w:rPr>
                <w:rFonts w:hint="eastAsia"/>
                <w:color w:val="000000"/>
                <w:sz w:val="20"/>
                <w:szCs w:val="20"/>
                <w:lang w:val="en-US" w:eastAsia="zh-CN"/>
              </w:rPr>
              <w:t>t applicable.</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10.6 OTA out-of-band blocking</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eastAsia="Times New Roman"/>
                <w:color w:val="000000"/>
                <w:sz w:val="20"/>
                <w:szCs w:val="20"/>
                <w:lang w:val="en-US" w:eastAsia="fi-FI"/>
              </w:rPr>
            </w:pPr>
            <w:r>
              <w:rPr>
                <w:rFonts w:hint="eastAsia"/>
                <w:color w:val="000000"/>
                <w:sz w:val="20"/>
                <w:szCs w:val="20"/>
                <w:lang w:val="en-US" w:eastAsia="zh-CN"/>
              </w:rPr>
              <w:t>OTA out-of-band blocking for SAN type 1-O operating above 10GHz needs to be updated.</w:t>
            </w:r>
          </w:p>
        </w:tc>
      </w:tr>
      <w:tr>
        <w:tblPrEx>
          <w:tblCellMar>
            <w:top w:w="0" w:type="dxa"/>
            <w:left w:w="70" w:type="dxa"/>
            <w:bottom w:w="0" w:type="dxa"/>
            <w:right w:w="70" w:type="dxa"/>
          </w:tblCellMar>
        </w:tblPrEx>
        <w:trPr>
          <w:trHeight w:val="290" w:hRule="atLeast"/>
        </w:trPr>
        <w:tc>
          <w:tcPr>
            <w:tcW w:w="3145" w:type="dxa"/>
            <w:tcBorders>
              <w:top w:val="nil"/>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10.7 OTA receiver spurious emissions</w:t>
            </w:r>
          </w:p>
        </w:tc>
        <w:tc>
          <w:tcPr>
            <w:tcW w:w="6655" w:type="dxa"/>
            <w:tcBorders>
              <w:top w:val="nil"/>
              <w:left w:val="nil"/>
              <w:bottom w:val="single" w:color="auto" w:sz="4" w:space="0"/>
              <w:right w:val="single" w:color="auto" w:sz="4" w:space="0"/>
            </w:tcBorders>
            <w:shd w:val="clear" w:color="auto" w:fill="auto"/>
            <w:noWrap w:val="0"/>
            <w:vAlign w:val="top"/>
          </w:tcPr>
          <w:p>
            <w:pPr>
              <w:spacing w:after="0"/>
              <w:rPr>
                <w:rFonts w:hint="default"/>
                <w:color w:val="000000"/>
                <w:sz w:val="20"/>
                <w:szCs w:val="20"/>
                <w:lang w:val="en-US" w:eastAsia="fi-FI"/>
              </w:rPr>
            </w:pPr>
            <w:r>
              <w:rPr>
                <w:rFonts w:hint="eastAsia" w:eastAsia="宋体"/>
                <w:color w:val="000000"/>
                <w:sz w:val="20"/>
                <w:szCs w:val="20"/>
                <w:lang w:val="en-US" w:eastAsia="zh-CN"/>
              </w:rPr>
              <w:t>No</w:t>
            </w:r>
            <w:r>
              <w:rPr>
                <w:rFonts w:hint="eastAsia"/>
                <w:color w:val="000000"/>
                <w:sz w:val="20"/>
                <w:szCs w:val="20"/>
                <w:lang w:val="en-US" w:eastAsia="zh-CN"/>
              </w:rPr>
              <w:t>t applicable.</w:t>
            </w:r>
          </w:p>
        </w:tc>
      </w:tr>
      <w:tr>
        <w:tblPrEx>
          <w:tblCellMar>
            <w:top w:w="0" w:type="dxa"/>
            <w:left w:w="70" w:type="dxa"/>
            <w:bottom w:w="0" w:type="dxa"/>
            <w:right w:w="70" w:type="dxa"/>
          </w:tblCellMar>
        </w:tblPrEx>
        <w:trPr>
          <w:trHeight w:val="29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default" w:eastAsia="宋体"/>
                <w:color w:val="000000"/>
                <w:sz w:val="20"/>
                <w:szCs w:val="20"/>
                <w:lang w:val="en-US" w:eastAsia="zh-CN"/>
              </w:rPr>
            </w:pPr>
            <w:r>
              <w:rPr>
                <w:rFonts w:hint="eastAsia"/>
                <w:color w:val="000000"/>
                <w:sz w:val="20"/>
                <w:szCs w:val="20"/>
                <w:lang w:val="en-US" w:eastAsia="zh-CN"/>
              </w:rPr>
              <w:t>10.8 OTA receiver intermodulation</w:t>
            </w:r>
          </w:p>
        </w:tc>
        <w:tc>
          <w:tcPr>
            <w:tcW w:w="665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eastAsia="Times New Roman"/>
                <w:color w:val="000000"/>
                <w:sz w:val="20"/>
                <w:szCs w:val="20"/>
                <w:lang w:val="fi-FI" w:eastAsia="fi-FI"/>
              </w:rPr>
            </w:pPr>
            <w:r>
              <w:rPr>
                <w:rFonts w:hint="eastAsia" w:eastAsia="宋体"/>
                <w:color w:val="000000"/>
                <w:sz w:val="20"/>
                <w:szCs w:val="20"/>
                <w:lang w:val="en-US" w:eastAsia="zh-CN"/>
              </w:rPr>
              <w:t>No</w:t>
            </w:r>
            <w:r>
              <w:rPr>
                <w:rFonts w:hint="eastAsia"/>
                <w:color w:val="000000"/>
                <w:sz w:val="20"/>
                <w:szCs w:val="20"/>
                <w:lang w:val="en-US" w:eastAsia="zh-CN"/>
              </w:rPr>
              <w:t>t applicable.</w:t>
            </w:r>
          </w:p>
        </w:tc>
      </w:tr>
      <w:tr>
        <w:tblPrEx>
          <w:tblCellMar>
            <w:top w:w="0" w:type="dxa"/>
            <w:left w:w="70" w:type="dxa"/>
            <w:bottom w:w="0" w:type="dxa"/>
            <w:right w:w="70" w:type="dxa"/>
          </w:tblCellMar>
        </w:tblPrEx>
        <w:trPr>
          <w:trHeight w:val="290" w:hRule="atLeast"/>
        </w:trPr>
        <w:tc>
          <w:tcPr>
            <w:tcW w:w="314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default"/>
                <w:color w:val="000000"/>
                <w:sz w:val="20"/>
                <w:szCs w:val="20"/>
                <w:lang w:val="en-US" w:eastAsia="zh-CN"/>
              </w:rPr>
            </w:pPr>
            <w:r>
              <w:rPr>
                <w:rFonts w:hint="eastAsia"/>
                <w:color w:val="000000"/>
                <w:sz w:val="20"/>
                <w:szCs w:val="20"/>
                <w:lang w:val="en-US" w:eastAsia="zh-CN"/>
              </w:rPr>
              <w:t>10.9 OTA in-channel selectivity</w:t>
            </w:r>
          </w:p>
        </w:tc>
        <w:tc>
          <w:tcPr>
            <w:tcW w:w="665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eastAsia="宋体"/>
                <w:color w:val="000000"/>
                <w:sz w:val="20"/>
                <w:szCs w:val="20"/>
                <w:lang w:val="en-US" w:eastAsia="zh-CN"/>
              </w:rPr>
            </w:pPr>
            <w:r>
              <w:rPr>
                <w:rFonts w:hint="eastAsia"/>
                <w:color w:val="000000"/>
                <w:sz w:val="20"/>
                <w:szCs w:val="20"/>
                <w:lang w:val="en-US" w:eastAsia="zh-CN"/>
              </w:rPr>
              <w:t>OTA ICS for SAN type 1-O operating above 10GHz needs to be updated.</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1: We make the proposals as Table 2.1, 2.2 and 2.3 for SAN conformance testing for NTN Ku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SAN conformance testing</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We make the proposals as Table 2.1, 2.2 and 2.3 for SAN conformance testing for NTN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5"/>
  </w:num>
  <w:num w:numId="5">
    <w:abstractNumId w:val="6"/>
  </w:num>
  <w:num w:numId="6">
    <w:abstractNumId w:val="1"/>
  </w:num>
  <w:num w:numId="7">
    <w:abstractNumId w:val="0"/>
  </w:num>
  <w:num w:numId="8">
    <w:abstractNumId w:val="3"/>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3362"/>
    <w:rsid w:val="04305EA0"/>
    <w:rsid w:val="04310833"/>
    <w:rsid w:val="04343921"/>
    <w:rsid w:val="04346443"/>
    <w:rsid w:val="043865BF"/>
    <w:rsid w:val="043A14AD"/>
    <w:rsid w:val="044C78D8"/>
    <w:rsid w:val="04537B11"/>
    <w:rsid w:val="04557675"/>
    <w:rsid w:val="04684A28"/>
    <w:rsid w:val="046C0EAE"/>
    <w:rsid w:val="04782230"/>
    <w:rsid w:val="0479507E"/>
    <w:rsid w:val="047B05A3"/>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61C29"/>
    <w:rsid w:val="057D1D66"/>
    <w:rsid w:val="059D265F"/>
    <w:rsid w:val="059E1515"/>
    <w:rsid w:val="05AD1B88"/>
    <w:rsid w:val="05B92EC1"/>
    <w:rsid w:val="05D05BD2"/>
    <w:rsid w:val="05DB542B"/>
    <w:rsid w:val="05E078B3"/>
    <w:rsid w:val="05E942A3"/>
    <w:rsid w:val="05EA759F"/>
    <w:rsid w:val="05EB5C7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313AC"/>
    <w:rsid w:val="06DF4C13"/>
    <w:rsid w:val="06E7678C"/>
    <w:rsid w:val="06EC7519"/>
    <w:rsid w:val="06EF07E5"/>
    <w:rsid w:val="06F42A88"/>
    <w:rsid w:val="06F801C0"/>
    <w:rsid w:val="07072694"/>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2B30C0"/>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BD75DF"/>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AA3B4C"/>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13253"/>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2427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41603"/>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784A61"/>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3FE65F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14565"/>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012BD9"/>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17307"/>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D327B2"/>
    <w:rsid w:val="26E51F4F"/>
    <w:rsid w:val="26E83216"/>
    <w:rsid w:val="26EC491A"/>
    <w:rsid w:val="26ED73E1"/>
    <w:rsid w:val="26F503CD"/>
    <w:rsid w:val="27036506"/>
    <w:rsid w:val="27047832"/>
    <w:rsid w:val="2706037D"/>
    <w:rsid w:val="270738F4"/>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720CD"/>
    <w:rsid w:val="29BA0D88"/>
    <w:rsid w:val="29BB3E72"/>
    <w:rsid w:val="29CF32B2"/>
    <w:rsid w:val="29DE15A2"/>
    <w:rsid w:val="29E0500B"/>
    <w:rsid w:val="29EC475A"/>
    <w:rsid w:val="29EF3680"/>
    <w:rsid w:val="29EF424E"/>
    <w:rsid w:val="29FA7F26"/>
    <w:rsid w:val="2A0B7871"/>
    <w:rsid w:val="2A166823"/>
    <w:rsid w:val="2A35650F"/>
    <w:rsid w:val="2A405265"/>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0A54AA"/>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944FBA"/>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42C53"/>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346527"/>
    <w:rsid w:val="363B7477"/>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10320"/>
    <w:rsid w:val="3CD12D66"/>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246B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B2D3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5857DF"/>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D2694"/>
    <w:rsid w:val="464E0973"/>
    <w:rsid w:val="46555DC3"/>
    <w:rsid w:val="46617DB2"/>
    <w:rsid w:val="46621065"/>
    <w:rsid w:val="46665198"/>
    <w:rsid w:val="46697236"/>
    <w:rsid w:val="46770F8B"/>
    <w:rsid w:val="467C16FA"/>
    <w:rsid w:val="46842633"/>
    <w:rsid w:val="46875964"/>
    <w:rsid w:val="46894B18"/>
    <w:rsid w:val="469448C6"/>
    <w:rsid w:val="469E47A2"/>
    <w:rsid w:val="469E7317"/>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BE5910"/>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133D7"/>
    <w:rsid w:val="4D6748C7"/>
    <w:rsid w:val="4D7D3EFB"/>
    <w:rsid w:val="4D883EF9"/>
    <w:rsid w:val="4D8B0123"/>
    <w:rsid w:val="4D903082"/>
    <w:rsid w:val="4D907392"/>
    <w:rsid w:val="4D940DD6"/>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B47CBB"/>
    <w:rsid w:val="4FCE0F49"/>
    <w:rsid w:val="4FE30332"/>
    <w:rsid w:val="4FE70BB4"/>
    <w:rsid w:val="4FE73C01"/>
    <w:rsid w:val="4FE76D51"/>
    <w:rsid w:val="4FE87C31"/>
    <w:rsid w:val="4FF03F98"/>
    <w:rsid w:val="4FF14DCF"/>
    <w:rsid w:val="4FF62B3F"/>
    <w:rsid w:val="4FFA1E51"/>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4287C"/>
    <w:rsid w:val="516A5418"/>
    <w:rsid w:val="516F4764"/>
    <w:rsid w:val="51771D97"/>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EA59DB"/>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62256"/>
    <w:rsid w:val="53BD0731"/>
    <w:rsid w:val="53BF4252"/>
    <w:rsid w:val="53D5647F"/>
    <w:rsid w:val="53D6247A"/>
    <w:rsid w:val="53DB3477"/>
    <w:rsid w:val="53DE00FF"/>
    <w:rsid w:val="53E656AF"/>
    <w:rsid w:val="53E77CBF"/>
    <w:rsid w:val="53FE7128"/>
    <w:rsid w:val="541F4F9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221C5"/>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EA06E0"/>
    <w:rsid w:val="56F05010"/>
    <w:rsid w:val="56FB2A68"/>
    <w:rsid w:val="57011F3E"/>
    <w:rsid w:val="57050D7B"/>
    <w:rsid w:val="5705646B"/>
    <w:rsid w:val="57060649"/>
    <w:rsid w:val="57124797"/>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2647E"/>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DA03DE"/>
    <w:rsid w:val="5EE153F8"/>
    <w:rsid w:val="5EE836CB"/>
    <w:rsid w:val="5EE91B20"/>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24F37"/>
    <w:rsid w:val="608D1D4E"/>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C6415C"/>
    <w:rsid w:val="61D43A2B"/>
    <w:rsid w:val="61E34474"/>
    <w:rsid w:val="61ED6D6A"/>
    <w:rsid w:val="61FF316E"/>
    <w:rsid w:val="62014BDB"/>
    <w:rsid w:val="621542CB"/>
    <w:rsid w:val="621C2930"/>
    <w:rsid w:val="62344A89"/>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28FB"/>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4E2E8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0149E"/>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7664F"/>
    <w:rsid w:val="6EFE1485"/>
    <w:rsid w:val="6F0247B3"/>
    <w:rsid w:val="6F031F8E"/>
    <w:rsid w:val="6F09008D"/>
    <w:rsid w:val="6F0C735C"/>
    <w:rsid w:val="6F0D382C"/>
    <w:rsid w:val="6F2632E8"/>
    <w:rsid w:val="6F30363A"/>
    <w:rsid w:val="6F3316E5"/>
    <w:rsid w:val="6F3F40F9"/>
    <w:rsid w:val="6F424B2F"/>
    <w:rsid w:val="6F510340"/>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BF4E6F"/>
    <w:rsid w:val="72C13ED7"/>
    <w:rsid w:val="72CF1AC7"/>
    <w:rsid w:val="72D51F74"/>
    <w:rsid w:val="72DC0F93"/>
    <w:rsid w:val="72DD2607"/>
    <w:rsid w:val="72E42AFA"/>
    <w:rsid w:val="72E85578"/>
    <w:rsid w:val="72EB4466"/>
    <w:rsid w:val="72FD426E"/>
    <w:rsid w:val="73043CFC"/>
    <w:rsid w:val="7317244F"/>
    <w:rsid w:val="73233132"/>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C053EA"/>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B4133"/>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44227"/>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A15B1"/>
    <w:rsid w:val="79FB6E2C"/>
    <w:rsid w:val="79FF7B91"/>
    <w:rsid w:val="7A06263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DF4F96"/>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2"/>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2025-10-03T09:41:40Z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C6A9CF9D68214B928D7D31B9CD245E0B</vt:lpwstr>
  </property>
</Properties>
</file>